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2C" w:rsidRPr="00F16BA6" w:rsidRDefault="00D2282C" w:rsidP="00D228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6BA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2282C" w:rsidRPr="00F16BA6" w:rsidRDefault="00D2282C" w:rsidP="00D2282C">
      <w:pPr>
        <w:rPr>
          <w:rFonts w:ascii="Times New Roman" w:hAnsi="Times New Roman" w:cs="Times New Roman"/>
          <w:sz w:val="28"/>
          <w:szCs w:val="28"/>
        </w:rPr>
      </w:pPr>
    </w:p>
    <w:p w:rsidR="00D2282C" w:rsidRPr="00F16BA6" w:rsidRDefault="00D2282C" w:rsidP="00D2282C">
      <w:pPr>
        <w:rPr>
          <w:rFonts w:ascii="Times New Roman" w:hAnsi="Times New Roman" w:cs="Times New Roman"/>
          <w:sz w:val="28"/>
          <w:szCs w:val="28"/>
        </w:rPr>
      </w:pPr>
    </w:p>
    <w:p w:rsidR="00D2282C" w:rsidRPr="00F16BA6" w:rsidRDefault="00D2282C" w:rsidP="00D2282C">
      <w:pPr>
        <w:rPr>
          <w:rFonts w:ascii="Times New Roman" w:hAnsi="Times New Roman" w:cs="Times New Roman"/>
          <w:sz w:val="28"/>
          <w:szCs w:val="28"/>
        </w:rPr>
      </w:pPr>
    </w:p>
    <w:p w:rsidR="00D2282C" w:rsidRPr="00F16BA6" w:rsidRDefault="00D2282C" w:rsidP="00D22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282C" w:rsidRPr="00F16BA6" w:rsidRDefault="00D2282C" w:rsidP="00D22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F16BA6">
        <w:rPr>
          <w:rFonts w:ascii="Times New Roman" w:eastAsia="Times New Roman" w:hAnsi="Times New Roman" w:cs="Times New Roman"/>
          <w:sz w:val="24"/>
          <w:szCs w:val="28"/>
          <w:lang w:eastAsia="ru-RU"/>
        </w:rPr>
        <w:t>191124, г. Санкт-Петербург, пл. Растрелли, д. 2, тел.</w:t>
      </w:r>
      <w:r w:rsidR="0016213C">
        <w:rPr>
          <w:rFonts w:ascii="Times New Roman" w:eastAsia="Times New Roman" w:hAnsi="Times New Roman" w:cs="Times New Roman"/>
          <w:sz w:val="24"/>
          <w:szCs w:val="28"/>
          <w:lang w:eastAsia="ru-RU"/>
        </w:rPr>
        <w:t>539-40-10, факс: 539</w:t>
      </w:r>
      <w:r w:rsidRPr="00F16BA6">
        <w:rPr>
          <w:rFonts w:ascii="Times New Roman" w:eastAsia="Times New Roman" w:hAnsi="Times New Roman" w:cs="Times New Roman"/>
          <w:sz w:val="24"/>
          <w:szCs w:val="28"/>
          <w:lang w:eastAsia="ru-RU"/>
        </w:rPr>
        <w:t>-40-20</w:t>
      </w:r>
      <w:proofErr w:type="gramEnd"/>
    </w:p>
    <w:p w:rsidR="00D2282C" w:rsidRPr="00F16BA6" w:rsidRDefault="00D2282C" w:rsidP="00D22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6B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Зеленая линия:8-921-908-50-86, </w:t>
      </w:r>
      <w:r w:rsidRPr="00F16BA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E</w:t>
      </w:r>
      <w:r w:rsidRPr="00F16BA6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F16BA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mail</w:t>
      </w:r>
      <w:r w:rsidRPr="00F16B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proofErr w:type="spellStart"/>
      <w:r w:rsidRPr="00F16BA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gosecocontrol</w:t>
      </w:r>
      <w:proofErr w:type="spellEnd"/>
      <w:r w:rsidRPr="00F16BA6">
        <w:rPr>
          <w:rFonts w:ascii="Times New Roman" w:eastAsia="Times New Roman" w:hAnsi="Times New Roman" w:cs="Times New Roman"/>
          <w:sz w:val="24"/>
          <w:szCs w:val="28"/>
          <w:lang w:eastAsia="ru-RU"/>
        </w:rPr>
        <w:t>@</w:t>
      </w:r>
      <w:proofErr w:type="spellStart"/>
      <w:r w:rsidRPr="00F16BA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lenreg</w:t>
      </w:r>
      <w:proofErr w:type="spellEnd"/>
      <w:r w:rsidRPr="00F16BA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spellStart"/>
      <w:r w:rsidRPr="00F16BA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ru</w:t>
      </w:r>
      <w:proofErr w:type="spellEnd"/>
    </w:p>
    <w:p w:rsidR="00D2282C" w:rsidRPr="00F16BA6" w:rsidRDefault="00D2282C" w:rsidP="00D2282C">
      <w:pPr>
        <w:rPr>
          <w:rFonts w:ascii="Times New Roman" w:hAnsi="Times New Roman" w:cs="Times New Roman"/>
          <w:sz w:val="28"/>
          <w:szCs w:val="28"/>
        </w:rPr>
      </w:pPr>
    </w:p>
    <w:p w:rsidR="00D2282C" w:rsidRPr="00F16BA6" w:rsidRDefault="00D2282C" w:rsidP="00D2282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6BA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2282C" w:rsidRPr="00F16BA6" w:rsidRDefault="00D2282C" w:rsidP="006D43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282C" w:rsidRPr="00F16BA6" w:rsidRDefault="00D2282C" w:rsidP="006D43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BA6">
        <w:rPr>
          <w:rFonts w:ascii="Times New Roman" w:hAnsi="Times New Roman" w:cs="Times New Roman"/>
          <w:sz w:val="28"/>
          <w:szCs w:val="28"/>
        </w:rPr>
        <w:t>от «__»__________20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16BA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16BA6">
        <w:rPr>
          <w:rFonts w:ascii="Times New Roman" w:hAnsi="Times New Roman" w:cs="Times New Roman"/>
          <w:sz w:val="28"/>
          <w:szCs w:val="28"/>
        </w:rPr>
        <w:tab/>
      </w:r>
      <w:r w:rsidRPr="00F16BA6">
        <w:rPr>
          <w:rFonts w:ascii="Times New Roman" w:hAnsi="Times New Roman" w:cs="Times New Roman"/>
          <w:sz w:val="28"/>
          <w:szCs w:val="28"/>
        </w:rPr>
        <w:tab/>
      </w:r>
      <w:r w:rsidRPr="00F16BA6">
        <w:rPr>
          <w:rFonts w:ascii="Times New Roman" w:hAnsi="Times New Roman" w:cs="Times New Roman"/>
          <w:sz w:val="28"/>
          <w:szCs w:val="28"/>
        </w:rPr>
        <w:tab/>
      </w:r>
      <w:r w:rsidRPr="00F16BA6">
        <w:rPr>
          <w:rFonts w:ascii="Times New Roman" w:hAnsi="Times New Roman" w:cs="Times New Roman"/>
          <w:sz w:val="28"/>
          <w:szCs w:val="28"/>
        </w:rPr>
        <w:tab/>
      </w:r>
      <w:r w:rsidRPr="00F16BA6">
        <w:rPr>
          <w:rFonts w:ascii="Times New Roman" w:hAnsi="Times New Roman" w:cs="Times New Roman"/>
          <w:sz w:val="28"/>
          <w:szCs w:val="28"/>
        </w:rPr>
        <w:tab/>
      </w:r>
      <w:r w:rsidRPr="00F16BA6">
        <w:rPr>
          <w:rFonts w:ascii="Times New Roman" w:hAnsi="Times New Roman" w:cs="Times New Roman"/>
          <w:sz w:val="28"/>
          <w:szCs w:val="28"/>
        </w:rPr>
        <w:tab/>
        <w:t xml:space="preserve">            №________</w:t>
      </w:r>
    </w:p>
    <w:p w:rsidR="00D2282C" w:rsidRPr="00F16BA6" w:rsidRDefault="00D2282C" w:rsidP="006D43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82C" w:rsidRDefault="00D2282C" w:rsidP="006D43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82C" w:rsidRDefault="00D2282C" w:rsidP="006D4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33C" w:rsidRPr="006D433C" w:rsidRDefault="006D433C" w:rsidP="006D4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33C">
        <w:rPr>
          <w:rFonts w:ascii="Times New Roman" w:hAnsi="Times New Roman" w:cs="Times New Roman"/>
          <w:b/>
          <w:sz w:val="28"/>
          <w:szCs w:val="28"/>
        </w:rPr>
        <w:t>О Порядке определения стоимости работ (услуг),</w:t>
      </w:r>
    </w:p>
    <w:p w:rsidR="006D433C" w:rsidRPr="006D433C" w:rsidRDefault="006D433C" w:rsidP="006D4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433C">
        <w:rPr>
          <w:rFonts w:ascii="Times New Roman" w:hAnsi="Times New Roman" w:cs="Times New Roman"/>
          <w:b/>
          <w:sz w:val="28"/>
          <w:szCs w:val="28"/>
        </w:rPr>
        <w:t>выполняемых</w:t>
      </w:r>
      <w:proofErr w:type="gramEnd"/>
      <w:r w:rsidRPr="006D433C">
        <w:rPr>
          <w:rFonts w:ascii="Times New Roman" w:hAnsi="Times New Roman" w:cs="Times New Roman"/>
          <w:b/>
          <w:sz w:val="28"/>
          <w:szCs w:val="28"/>
        </w:rPr>
        <w:t xml:space="preserve"> (оказываемых)  Ленинградским областным государственным казенным учреждением «Государственная экологическая инспекция Ленинградской области»</w:t>
      </w:r>
    </w:p>
    <w:p w:rsidR="006D433C" w:rsidRPr="006D433C" w:rsidRDefault="006D433C" w:rsidP="006D4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33C" w:rsidRPr="006D433C" w:rsidRDefault="006D433C" w:rsidP="006D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33C">
        <w:rPr>
          <w:rFonts w:ascii="Times New Roman" w:hAnsi="Times New Roman" w:cs="Times New Roman"/>
          <w:sz w:val="28"/>
          <w:szCs w:val="28"/>
        </w:rPr>
        <w:t>Во исполнение п. 3.1 статьи 161 Бюджетного кодекса Российской Федерации:</w:t>
      </w:r>
    </w:p>
    <w:p w:rsidR="006D433C" w:rsidRPr="006D433C" w:rsidRDefault="006D433C" w:rsidP="006D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33C">
        <w:rPr>
          <w:rFonts w:ascii="Times New Roman" w:hAnsi="Times New Roman" w:cs="Times New Roman"/>
          <w:sz w:val="28"/>
          <w:szCs w:val="28"/>
        </w:rPr>
        <w:t>1.</w:t>
      </w:r>
      <w:r w:rsidRPr="006D433C">
        <w:rPr>
          <w:rFonts w:ascii="Times New Roman" w:hAnsi="Times New Roman" w:cs="Times New Roman"/>
          <w:sz w:val="28"/>
          <w:szCs w:val="28"/>
        </w:rPr>
        <w:tab/>
        <w:t xml:space="preserve">Утвердить Порядок </w:t>
      </w:r>
      <w:r w:rsidR="00C248A4">
        <w:rPr>
          <w:rFonts w:ascii="Times New Roman" w:hAnsi="Times New Roman" w:cs="Times New Roman"/>
          <w:sz w:val="28"/>
          <w:szCs w:val="28"/>
        </w:rPr>
        <w:t>определения</w:t>
      </w:r>
      <w:r w:rsidRPr="006D433C">
        <w:rPr>
          <w:rFonts w:ascii="Times New Roman" w:hAnsi="Times New Roman" w:cs="Times New Roman"/>
          <w:sz w:val="28"/>
          <w:szCs w:val="28"/>
        </w:rPr>
        <w:t xml:space="preserve"> стоимости работ (услуг), выполняемых (оказываемых)  Ленинградским областным государственным казенным учреждением «Государственная экологическая инспекция Ленинградской области» согласно Приложению 1.</w:t>
      </w:r>
    </w:p>
    <w:p w:rsidR="006D433C" w:rsidRPr="006D433C" w:rsidRDefault="006D433C" w:rsidP="006D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33C">
        <w:rPr>
          <w:rFonts w:ascii="Times New Roman" w:hAnsi="Times New Roman" w:cs="Times New Roman"/>
          <w:sz w:val="28"/>
          <w:szCs w:val="28"/>
        </w:rPr>
        <w:t>2.</w:t>
      </w:r>
      <w:r w:rsidRPr="006D433C">
        <w:rPr>
          <w:rFonts w:ascii="Times New Roman" w:hAnsi="Times New Roman" w:cs="Times New Roman"/>
          <w:sz w:val="28"/>
          <w:szCs w:val="28"/>
        </w:rPr>
        <w:tab/>
        <w:t>Утвердить Стоимость работ (услуг), выполняемых (оказываемых)  Ленинградским областным государственным казенным учреждением «Государственная экологическая инспекция Ленинградской области» согласно Приложению 2.</w:t>
      </w:r>
    </w:p>
    <w:p w:rsidR="006D433C" w:rsidRPr="006D433C" w:rsidRDefault="006D433C" w:rsidP="006D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33C">
        <w:rPr>
          <w:rFonts w:ascii="Times New Roman" w:hAnsi="Times New Roman" w:cs="Times New Roman"/>
          <w:sz w:val="28"/>
          <w:szCs w:val="28"/>
        </w:rPr>
        <w:t>3.</w:t>
      </w:r>
      <w:r w:rsidRPr="006D433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D43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433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D433C" w:rsidRPr="006D433C" w:rsidRDefault="006D433C" w:rsidP="006D4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33C" w:rsidRPr="006D433C" w:rsidRDefault="006D433C" w:rsidP="006D4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33C" w:rsidRPr="006D433C" w:rsidRDefault="006D433C" w:rsidP="006D4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3C"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D2282C" w:rsidRDefault="006D433C" w:rsidP="006D4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3C">
        <w:rPr>
          <w:rFonts w:ascii="Times New Roman" w:hAnsi="Times New Roman" w:cs="Times New Roman"/>
          <w:sz w:val="28"/>
          <w:szCs w:val="28"/>
        </w:rPr>
        <w:t xml:space="preserve">обязанности председателя Комитета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D433C">
        <w:rPr>
          <w:rFonts w:ascii="Times New Roman" w:hAnsi="Times New Roman" w:cs="Times New Roman"/>
          <w:sz w:val="28"/>
          <w:szCs w:val="28"/>
        </w:rPr>
        <w:t xml:space="preserve">                      В.Н. Татаров</w:t>
      </w:r>
    </w:p>
    <w:p w:rsidR="00D2282C" w:rsidRDefault="00D2282C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33C" w:rsidRDefault="006D433C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33C" w:rsidRDefault="006D433C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33C" w:rsidRDefault="006D433C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33C" w:rsidRDefault="006D433C" w:rsidP="00D22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приказу Комитета </w:t>
      </w:r>
    </w:p>
    <w:p w:rsidR="006573D7" w:rsidRDefault="006573D7" w:rsidP="006573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экологического </w:t>
      </w:r>
    </w:p>
    <w:p w:rsidR="006573D7" w:rsidRDefault="006573D7" w:rsidP="006573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надзора Ленинградской области</w:t>
      </w:r>
    </w:p>
    <w:p w:rsidR="006573D7" w:rsidRDefault="006573D7" w:rsidP="006573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 202__ № _________</w:t>
      </w:r>
    </w:p>
    <w:p w:rsidR="006573D7" w:rsidRDefault="006573D7" w:rsidP="006573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Pr="006573D7" w:rsidRDefault="006573D7" w:rsidP="006573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3D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C248A4">
        <w:rPr>
          <w:rFonts w:ascii="Times New Roman" w:hAnsi="Times New Roman" w:cs="Times New Roman"/>
          <w:b/>
          <w:sz w:val="28"/>
          <w:szCs w:val="28"/>
        </w:rPr>
        <w:t>определения</w:t>
      </w:r>
      <w:r w:rsidRPr="006573D7">
        <w:rPr>
          <w:rFonts w:ascii="Times New Roman" w:hAnsi="Times New Roman" w:cs="Times New Roman"/>
          <w:b/>
          <w:sz w:val="28"/>
          <w:szCs w:val="28"/>
        </w:rPr>
        <w:t xml:space="preserve"> стоимости работ (услуг), выполняемых (оказываемых) Ленинградским областным государственным казенным учреждением «Государственная экологическая инспекция Ленинградской области»</w:t>
      </w:r>
    </w:p>
    <w:p w:rsidR="006573D7" w:rsidRPr="006573D7" w:rsidRDefault="006573D7" w:rsidP="006573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>1.</w:t>
      </w:r>
      <w:r w:rsidRPr="006573D7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>1.1.</w:t>
      </w:r>
      <w:r w:rsidRPr="006573D7">
        <w:rPr>
          <w:rFonts w:ascii="Times New Roman" w:hAnsi="Times New Roman" w:cs="Times New Roman"/>
          <w:sz w:val="28"/>
          <w:szCs w:val="28"/>
        </w:rPr>
        <w:tab/>
        <w:t xml:space="preserve"> Настоящий порядок </w:t>
      </w:r>
      <w:r w:rsidR="00C248A4">
        <w:rPr>
          <w:rFonts w:ascii="Times New Roman" w:hAnsi="Times New Roman" w:cs="Times New Roman"/>
          <w:sz w:val="28"/>
          <w:szCs w:val="28"/>
        </w:rPr>
        <w:t>определения</w:t>
      </w:r>
      <w:r w:rsidRPr="006573D7">
        <w:rPr>
          <w:rFonts w:ascii="Times New Roman" w:hAnsi="Times New Roman" w:cs="Times New Roman"/>
          <w:sz w:val="28"/>
          <w:szCs w:val="28"/>
        </w:rPr>
        <w:t xml:space="preserve"> стоимости работ (услуг), выполняемых (оказываемых) Ленинградским областным государственным казенным учреждением «Государственная экологическая инспекция Ленинградской области» (далее – Учреждение) разработан в целях установления единого механизма формирования цен для расчета: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 xml:space="preserve">-  стоимости работ (услуг), выполняемых (оказываемых) Учреждением на платной основе,  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>- затрат, понесенных Учреждением на проведение работ и услуг природоохранного назначения при привлечении Комитетом государственного экологического надзора Ленинградской области (далее – Комитет) в рамках контрольно-надзорной деятельности, подлежащих возмещению лицом, привлеченным к административной ответственности, в областной бюджет Ленинградской области.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>1.2.</w:t>
      </w:r>
      <w:r w:rsidRPr="006573D7">
        <w:rPr>
          <w:rFonts w:ascii="Times New Roman" w:hAnsi="Times New Roman" w:cs="Times New Roman"/>
          <w:sz w:val="28"/>
          <w:szCs w:val="28"/>
        </w:rPr>
        <w:tab/>
        <w:t xml:space="preserve"> Учреждение производит расчет стоимости работ (услуг) с учетом прилагаемой к настоящему порядку Методики расчета стоимости работ (услуг) и направляет его с обосновывающими материалами в Комитет.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>1.3.</w:t>
      </w:r>
      <w:r w:rsidRPr="006573D7">
        <w:rPr>
          <w:rFonts w:ascii="Times New Roman" w:hAnsi="Times New Roman" w:cs="Times New Roman"/>
          <w:sz w:val="28"/>
          <w:szCs w:val="28"/>
        </w:rPr>
        <w:tab/>
        <w:t xml:space="preserve"> Финансово-экономический сектор Комитета в течение 5 (пяти) рабочих дней рассматривает представленный Учреждением расчет стоимости работ (услуг) и подготавливает заключение об обоснованности расчета стоимости работ (услуг).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>1.4.</w:t>
      </w:r>
      <w:r w:rsidRPr="006573D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248A4">
        <w:rPr>
          <w:rFonts w:ascii="Times New Roman" w:hAnsi="Times New Roman" w:cs="Times New Roman"/>
          <w:sz w:val="28"/>
          <w:szCs w:val="28"/>
        </w:rPr>
        <w:t>О</w:t>
      </w:r>
      <w:r w:rsidRPr="006573D7">
        <w:rPr>
          <w:rFonts w:ascii="Times New Roman" w:hAnsi="Times New Roman" w:cs="Times New Roman"/>
          <w:sz w:val="28"/>
          <w:szCs w:val="28"/>
        </w:rPr>
        <w:t xml:space="preserve">тдел </w:t>
      </w:r>
      <w:r w:rsidR="00C248A4">
        <w:rPr>
          <w:rFonts w:ascii="Times New Roman" w:hAnsi="Times New Roman" w:cs="Times New Roman"/>
          <w:sz w:val="28"/>
          <w:szCs w:val="28"/>
        </w:rPr>
        <w:t xml:space="preserve">правового обеспечения </w:t>
      </w:r>
      <w:r w:rsidRPr="006573D7">
        <w:rPr>
          <w:rFonts w:ascii="Times New Roman" w:hAnsi="Times New Roman" w:cs="Times New Roman"/>
          <w:sz w:val="28"/>
          <w:szCs w:val="28"/>
        </w:rPr>
        <w:t>Комитета в течение 3 (трех) рабочих дней со дня получения заключения об обоснованности расчета стоимости работ (услуг) подготавливает проект приказа Комитета об установлении стоимости работ (услуг).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>1.5.</w:t>
      </w:r>
      <w:r w:rsidRPr="006573D7">
        <w:rPr>
          <w:rFonts w:ascii="Times New Roman" w:hAnsi="Times New Roman" w:cs="Times New Roman"/>
          <w:sz w:val="28"/>
          <w:szCs w:val="28"/>
        </w:rPr>
        <w:tab/>
        <w:t xml:space="preserve"> Финансово-экономический сектор Комитета в течение 2 (двух) рабочих дней со дня  регистрации направляет копию приказа Комитета в Учреждение.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>1.6.</w:t>
      </w:r>
      <w:r w:rsidRPr="006573D7">
        <w:rPr>
          <w:rFonts w:ascii="Times New Roman" w:hAnsi="Times New Roman" w:cs="Times New Roman"/>
          <w:sz w:val="28"/>
          <w:szCs w:val="28"/>
        </w:rPr>
        <w:tab/>
        <w:t xml:space="preserve"> Учреждение в течение 2 (двух) рабочих дней со дня получения копии приказа Комитета размещает информацию о стоимости работ (услуг), на официальном сайте Учреждения.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>1.7.</w:t>
      </w:r>
      <w:r w:rsidRPr="006573D7">
        <w:rPr>
          <w:rFonts w:ascii="Times New Roman" w:hAnsi="Times New Roman" w:cs="Times New Roman"/>
          <w:sz w:val="28"/>
          <w:szCs w:val="28"/>
        </w:rPr>
        <w:tab/>
        <w:t>Стоимость работ (услуг) подлежит пересмотру не реже 1 раза в год.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>2.</w:t>
      </w:r>
      <w:r w:rsidRPr="006573D7">
        <w:rPr>
          <w:rFonts w:ascii="Times New Roman" w:hAnsi="Times New Roman" w:cs="Times New Roman"/>
          <w:sz w:val="28"/>
          <w:szCs w:val="28"/>
        </w:rPr>
        <w:tab/>
        <w:t>Методика расчета стоимости работ (услуг)</w:t>
      </w:r>
      <w:r w:rsidR="00C248A4">
        <w:rPr>
          <w:rFonts w:ascii="Times New Roman" w:hAnsi="Times New Roman" w:cs="Times New Roman"/>
          <w:sz w:val="28"/>
          <w:szCs w:val="28"/>
        </w:rPr>
        <w:t>.</w:t>
      </w:r>
      <w:r w:rsidRPr="00657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>2.1.</w:t>
      </w:r>
      <w:r w:rsidRPr="006573D7">
        <w:rPr>
          <w:rFonts w:ascii="Times New Roman" w:hAnsi="Times New Roman" w:cs="Times New Roman"/>
          <w:sz w:val="28"/>
          <w:szCs w:val="28"/>
        </w:rPr>
        <w:tab/>
        <w:t xml:space="preserve">Методика разработана на основе положений Примерного перечня работ и услуг природоохранного назначения, утвержденного </w:t>
      </w:r>
      <w:proofErr w:type="spellStart"/>
      <w:r w:rsidRPr="006573D7">
        <w:rPr>
          <w:rFonts w:ascii="Times New Roman" w:hAnsi="Times New Roman" w:cs="Times New Roman"/>
          <w:sz w:val="28"/>
          <w:szCs w:val="28"/>
        </w:rPr>
        <w:t>Госкомэкологией</w:t>
      </w:r>
      <w:proofErr w:type="spellEnd"/>
      <w:r w:rsidRPr="006573D7">
        <w:rPr>
          <w:rFonts w:ascii="Times New Roman" w:hAnsi="Times New Roman" w:cs="Times New Roman"/>
          <w:sz w:val="28"/>
          <w:szCs w:val="28"/>
        </w:rPr>
        <w:t xml:space="preserve"> РФ 06.09.1999 г.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Pr="006573D7">
        <w:rPr>
          <w:rFonts w:ascii="Times New Roman" w:hAnsi="Times New Roman" w:cs="Times New Roman"/>
          <w:sz w:val="28"/>
          <w:szCs w:val="28"/>
        </w:rPr>
        <w:tab/>
        <w:t>Стоимость работ (услуг) определяется на основе расчета экономически обоснованных затрат материальных и трудовых ресурсов (далее Затраты) на единицу работ (услуг).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>2.3.</w:t>
      </w:r>
      <w:r w:rsidRPr="006573D7">
        <w:rPr>
          <w:rFonts w:ascii="Times New Roman" w:hAnsi="Times New Roman" w:cs="Times New Roman"/>
          <w:sz w:val="28"/>
          <w:szCs w:val="28"/>
        </w:rPr>
        <w:tab/>
        <w:t>Стоимость работ (услуг), выполняемых Учреждением, покрывает Затраты Учреждения на выполнение данных работ (услуг).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>2.4.</w:t>
      </w:r>
      <w:r w:rsidRPr="006573D7">
        <w:rPr>
          <w:rFonts w:ascii="Times New Roman" w:hAnsi="Times New Roman" w:cs="Times New Roman"/>
          <w:sz w:val="28"/>
          <w:szCs w:val="28"/>
        </w:rPr>
        <w:tab/>
        <w:t>Стоимость работ (услуг) (</w:t>
      </w:r>
      <w:proofErr w:type="spellStart"/>
      <w:r w:rsidRPr="006573D7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6573D7">
        <w:rPr>
          <w:rFonts w:ascii="Times New Roman" w:hAnsi="Times New Roman" w:cs="Times New Roman"/>
          <w:sz w:val="28"/>
          <w:szCs w:val="28"/>
        </w:rPr>
        <w:t>) является себестоимостью и определяется исходя из трудозатрат на их выполнение (Т), средней заработной платы специалистов (</w:t>
      </w:r>
      <w:proofErr w:type="spellStart"/>
      <w:r w:rsidRPr="006573D7">
        <w:rPr>
          <w:rFonts w:ascii="Times New Roman" w:hAnsi="Times New Roman" w:cs="Times New Roman"/>
          <w:sz w:val="28"/>
          <w:szCs w:val="28"/>
        </w:rPr>
        <w:t>Зср</w:t>
      </w:r>
      <w:proofErr w:type="spellEnd"/>
      <w:r w:rsidRPr="006573D7">
        <w:rPr>
          <w:rFonts w:ascii="Times New Roman" w:hAnsi="Times New Roman" w:cs="Times New Roman"/>
          <w:sz w:val="28"/>
          <w:szCs w:val="28"/>
        </w:rPr>
        <w:t>), непосредственно выполняющих работы (услуги), начислений (</w:t>
      </w:r>
      <w:proofErr w:type="spellStart"/>
      <w:r w:rsidRPr="006573D7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6573D7">
        <w:rPr>
          <w:rFonts w:ascii="Times New Roman" w:hAnsi="Times New Roman" w:cs="Times New Roman"/>
          <w:sz w:val="28"/>
          <w:szCs w:val="28"/>
        </w:rPr>
        <w:t>) на выплаты по оплате труда специалистов, непосредственно выполняющих работы (услуги),  транспортных (</w:t>
      </w:r>
      <w:proofErr w:type="spellStart"/>
      <w:proofErr w:type="gramStart"/>
      <w:r w:rsidRPr="006573D7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6573D7">
        <w:rPr>
          <w:rFonts w:ascii="Times New Roman" w:hAnsi="Times New Roman" w:cs="Times New Roman"/>
          <w:sz w:val="28"/>
          <w:szCs w:val="28"/>
        </w:rPr>
        <w:t>), хозяйственных (</w:t>
      </w:r>
      <w:proofErr w:type="spellStart"/>
      <w:r w:rsidRPr="006573D7">
        <w:rPr>
          <w:rFonts w:ascii="Times New Roman" w:hAnsi="Times New Roman" w:cs="Times New Roman"/>
          <w:sz w:val="28"/>
          <w:szCs w:val="28"/>
        </w:rPr>
        <w:t>Кхоз</w:t>
      </w:r>
      <w:proofErr w:type="spellEnd"/>
      <w:r w:rsidRPr="006573D7">
        <w:rPr>
          <w:rFonts w:ascii="Times New Roman" w:hAnsi="Times New Roman" w:cs="Times New Roman"/>
          <w:sz w:val="28"/>
          <w:szCs w:val="28"/>
        </w:rPr>
        <w:t>) и прочих затрат (</w:t>
      </w:r>
      <w:proofErr w:type="spellStart"/>
      <w:r w:rsidRPr="006573D7">
        <w:rPr>
          <w:rFonts w:ascii="Times New Roman" w:hAnsi="Times New Roman" w:cs="Times New Roman"/>
          <w:sz w:val="28"/>
          <w:szCs w:val="28"/>
        </w:rPr>
        <w:t>Кпр</w:t>
      </w:r>
      <w:proofErr w:type="spellEnd"/>
      <w:r w:rsidRPr="006573D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>2.5.</w:t>
      </w:r>
      <w:r w:rsidRPr="006573D7">
        <w:rPr>
          <w:rFonts w:ascii="Times New Roman" w:hAnsi="Times New Roman" w:cs="Times New Roman"/>
          <w:sz w:val="28"/>
          <w:szCs w:val="28"/>
        </w:rPr>
        <w:tab/>
        <w:t>Трудозатраты на выполнение работ (услуг) (Т) включают: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>- прием и регистрацию заявок с указанием вида деятельности;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>- составление программы выполнения работ (услуг), подбор методических документов, необходимых для выполнения работ (услуг);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>- подготовку необходимого оборудования и инвентаря для выполнения работ (услуг);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>- выполнение работ (услуг);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 xml:space="preserve">- подведение итогов, оформление отчетных материалов, заключений по выполнению заявленных работ (услуг). 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>2.6.</w:t>
      </w:r>
      <w:r w:rsidRPr="006573D7">
        <w:rPr>
          <w:rFonts w:ascii="Times New Roman" w:hAnsi="Times New Roman" w:cs="Times New Roman"/>
          <w:sz w:val="28"/>
          <w:szCs w:val="28"/>
        </w:rPr>
        <w:tab/>
        <w:t>Стоимость выполнения работ (услуг) (</w:t>
      </w:r>
      <w:proofErr w:type="spellStart"/>
      <w:r w:rsidRPr="006573D7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6573D7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6573D7" w:rsidRPr="006573D7" w:rsidRDefault="006573D7" w:rsidP="00657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3D7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6573D7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6573D7">
        <w:rPr>
          <w:rFonts w:ascii="Times New Roman" w:hAnsi="Times New Roman" w:cs="Times New Roman"/>
          <w:sz w:val="28"/>
          <w:szCs w:val="28"/>
        </w:rPr>
        <w:t>Зс+Зс∙Нач+Кхоз∙Зс+Кпр∙Зс+</w:t>
      </w:r>
      <w:proofErr w:type="gramStart"/>
      <w:r w:rsidRPr="006573D7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6573D7">
        <w:rPr>
          <w:rFonts w:ascii="Times New Roman" w:hAnsi="Times New Roman" w:cs="Times New Roman"/>
          <w:sz w:val="28"/>
          <w:szCs w:val="28"/>
        </w:rPr>
        <w:t>, где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3D7">
        <w:rPr>
          <w:rFonts w:ascii="Times New Roman" w:hAnsi="Times New Roman" w:cs="Times New Roman"/>
          <w:sz w:val="28"/>
          <w:szCs w:val="28"/>
        </w:rPr>
        <w:t>Зс</w:t>
      </w:r>
      <w:proofErr w:type="spellEnd"/>
      <w:r w:rsidRPr="006573D7">
        <w:rPr>
          <w:rFonts w:ascii="Times New Roman" w:hAnsi="Times New Roman" w:cs="Times New Roman"/>
          <w:sz w:val="28"/>
          <w:szCs w:val="28"/>
        </w:rPr>
        <w:t xml:space="preserve">   –    заработная     плата   специалистов, непосредственно выполняющих работы (услуги), определяемая по формуле: 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3D7">
        <w:rPr>
          <w:rFonts w:ascii="Times New Roman" w:hAnsi="Times New Roman" w:cs="Times New Roman"/>
          <w:sz w:val="28"/>
          <w:szCs w:val="28"/>
        </w:rPr>
        <w:t>Зс</w:t>
      </w:r>
      <w:proofErr w:type="spellEnd"/>
      <w:r w:rsidRPr="006573D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573D7">
        <w:rPr>
          <w:rFonts w:ascii="Times New Roman" w:hAnsi="Times New Roman" w:cs="Times New Roman"/>
          <w:sz w:val="28"/>
          <w:szCs w:val="28"/>
        </w:rPr>
        <w:t>Зср</w:t>
      </w:r>
      <w:proofErr w:type="spellEnd"/>
      <w:proofErr w:type="gramStart"/>
      <w:r w:rsidRPr="006573D7">
        <w:rPr>
          <w:rFonts w:ascii="Times New Roman" w:hAnsi="Times New Roman" w:cs="Times New Roman"/>
          <w:sz w:val="28"/>
          <w:szCs w:val="28"/>
        </w:rPr>
        <w:t xml:space="preserve"> ∙ Т</w:t>
      </w:r>
      <w:proofErr w:type="gramEnd"/>
      <w:r w:rsidRPr="006573D7">
        <w:rPr>
          <w:rFonts w:ascii="Times New Roman" w:hAnsi="Times New Roman" w:cs="Times New Roman"/>
          <w:sz w:val="28"/>
          <w:szCs w:val="28"/>
        </w:rPr>
        <w:t>, где</w:t>
      </w:r>
    </w:p>
    <w:p w:rsidR="006573D7" w:rsidRPr="006573D7" w:rsidRDefault="006573D7" w:rsidP="00657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573D7">
        <w:rPr>
          <w:rFonts w:ascii="Times New Roman" w:hAnsi="Times New Roman" w:cs="Times New Roman"/>
          <w:sz w:val="28"/>
          <w:szCs w:val="28"/>
        </w:rPr>
        <w:t>Зср</w:t>
      </w:r>
      <w:proofErr w:type="spellEnd"/>
      <w:r w:rsidRPr="006573D7">
        <w:rPr>
          <w:rFonts w:ascii="Times New Roman" w:hAnsi="Times New Roman" w:cs="Times New Roman"/>
          <w:sz w:val="28"/>
          <w:szCs w:val="28"/>
        </w:rPr>
        <w:t xml:space="preserve"> – средняя заработная плата специалистов, привлеченных к выполнению работы (услуги) (руб./час)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 xml:space="preserve">Т - минимальные трудозатраты на единицу работы (услуги) (час), определенные  в соответствии с нормативными документами, расчетами;  </w:t>
      </w:r>
    </w:p>
    <w:p w:rsidR="006573D7" w:rsidRPr="006573D7" w:rsidRDefault="006573D7" w:rsidP="00657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3D7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6573D7">
        <w:rPr>
          <w:rFonts w:ascii="Times New Roman" w:hAnsi="Times New Roman" w:cs="Times New Roman"/>
          <w:sz w:val="28"/>
          <w:szCs w:val="28"/>
        </w:rPr>
        <w:t xml:space="preserve"> – начисления на выплаты по оплате труда (30,2%);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3D7">
        <w:rPr>
          <w:rFonts w:ascii="Times New Roman" w:hAnsi="Times New Roman" w:cs="Times New Roman"/>
          <w:sz w:val="28"/>
          <w:szCs w:val="28"/>
        </w:rPr>
        <w:t>Кхоз</w:t>
      </w:r>
      <w:proofErr w:type="spellEnd"/>
      <w:r w:rsidRPr="006573D7">
        <w:rPr>
          <w:rFonts w:ascii="Times New Roman" w:hAnsi="Times New Roman" w:cs="Times New Roman"/>
          <w:sz w:val="28"/>
          <w:szCs w:val="28"/>
        </w:rPr>
        <w:t xml:space="preserve"> – хозяйственные расходы, включающие затраты Учреждения на аренду помещений, коммунальные услуги, эксплуатационные расходы, метрологическое обеспечение, ремонт оборудования, приобретение расходных материалов (30% от заработной платы специалистов, непосредственно выполняющих работы (услуги));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3D7">
        <w:rPr>
          <w:rFonts w:ascii="Times New Roman" w:hAnsi="Times New Roman" w:cs="Times New Roman"/>
          <w:sz w:val="28"/>
          <w:szCs w:val="28"/>
        </w:rPr>
        <w:t>Кпр</w:t>
      </w:r>
      <w:proofErr w:type="spellEnd"/>
      <w:r w:rsidRPr="006573D7">
        <w:rPr>
          <w:rFonts w:ascii="Times New Roman" w:hAnsi="Times New Roman" w:cs="Times New Roman"/>
          <w:sz w:val="28"/>
          <w:szCs w:val="28"/>
        </w:rPr>
        <w:t xml:space="preserve"> – прочие расходы, включающие затраты Учреждения на прием и регистрацию документов, организацию и проведение экономического и правового анализа (15% от заработной платы специалистов, непосредственно выполняющих работы (услуги));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573D7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6573D7">
        <w:rPr>
          <w:rFonts w:ascii="Times New Roman" w:hAnsi="Times New Roman" w:cs="Times New Roman"/>
          <w:sz w:val="28"/>
          <w:szCs w:val="28"/>
        </w:rPr>
        <w:t xml:space="preserve"> – транспортные расходы, включающие затраты Учреждения на доставку специалистов на объект/с объекта обследования, определяются по формуле: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3D7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6573D7">
        <w:rPr>
          <w:rFonts w:ascii="Times New Roman" w:hAnsi="Times New Roman" w:cs="Times New Roman"/>
          <w:sz w:val="28"/>
          <w:szCs w:val="28"/>
        </w:rPr>
        <w:t xml:space="preserve"> = Зв + </w:t>
      </w:r>
      <w:proofErr w:type="spellStart"/>
      <w:proofErr w:type="gramStart"/>
      <w:r w:rsidRPr="006573D7">
        <w:rPr>
          <w:rFonts w:ascii="Times New Roman" w:hAnsi="Times New Roman" w:cs="Times New Roman"/>
          <w:sz w:val="28"/>
          <w:szCs w:val="28"/>
        </w:rPr>
        <w:t>Зв</w:t>
      </w:r>
      <w:proofErr w:type="gramEnd"/>
      <w:r w:rsidRPr="006573D7">
        <w:rPr>
          <w:rFonts w:ascii="Times New Roman" w:hAnsi="Times New Roman" w:cs="Times New Roman"/>
          <w:sz w:val="28"/>
          <w:szCs w:val="28"/>
        </w:rPr>
        <w:t>∙Нач</w:t>
      </w:r>
      <w:proofErr w:type="spellEnd"/>
      <w:r w:rsidRPr="006573D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573D7">
        <w:rPr>
          <w:rFonts w:ascii="Times New Roman" w:hAnsi="Times New Roman" w:cs="Times New Roman"/>
          <w:sz w:val="28"/>
          <w:szCs w:val="28"/>
        </w:rPr>
        <w:t>Сгсм</w:t>
      </w:r>
      <w:proofErr w:type="spellEnd"/>
      <w:r w:rsidRPr="006573D7">
        <w:rPr>
          <w:rFonts w:ascii="Times New Roman" w:hAnsi="Times New Roman" w:cs="Times New Roman"/>
          <w:sz w:val="28"/>
          <w:szCs w:val="28"/>
        </w:rPr>
        <w:t>, где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>Зв –    заработная     плата   водителей, определяемая по формуле: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 xml:space="preserve">Зв = </w:t>
      </w:r>
      <w:proofErr w:type="spellStart"/>
      <w:proofErr w:type="gramStart"/>
      <w:r w:rsidRPr="006573D7">
        <w:rPr>
          <w:rFonts w:ascii="Times New Roman" w:hAnsi="Times New Roman" w:cs="Times New Roman"/>
          <w:sz w:val="28"/>
          <w:szCs w:val="28"/>
        </w:rPr>
        <w:t>Зв</w:t>
      </w:r>
      <w:proofErr w:type="gramEnd"/>
      <w:r w:rsidRPr="006573D7">
        <w:rPr>
          <w:rFonts w:ascii="Times New Roman" w:hAnsi="Times New Roman" w:cs="Times New Roman"/>
          <w:sz w:val="28"/>
          <w:szCs w:val="28"/>
        </w:rPr>
        <w:t>.ср</w:t>
      </w:r>
      <w:proofErr w:type="spellEnd"/>
      <w:r w:rsidRPr="006573D7">
        <w:rPr>
          <w:rFonts w:ascii="Times New Roman" w:hAnsi="Times New Roman" w:cs="Times New Roman"/>
          <w:sz w:val="28"/>
          <w:szCs w:val="28"/>
        </w:rPr>
        <w:t xml:space="preserve"> ∙ </w:t>
      </w:r>
      <w:proofErr w:type="spellStart"/>
      <w:r w:rsidRPr="006573D7">
        <w:rPr>
          <w:rFonts w:ascii="Times New Roman" w:hAnsi="Times New Roman" w:cs="Times New Roman"/>
          <w:sz w:val="28"/>
          <w:szCs w:val="28"/>
        </w:rPr>
        <w:t>Ттр</w:t>
      </w:r>
      <w:proofErr w:type="spellEnd"/>
      <w:r w:rsidRPr="006573D7"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3D7">
        <w:rPr>
          <w:rFonts w:ascii="Times New Roman" w:hAnsi="Times New Roman" w:cs="Times New Roman"/>
          <w:sz w:val="28"/>
          <w:szCs w:val="28"/>
        </w:rPr>
        <w:t>Зв</w:t>
      </w:r>
      <w:proofErr w:type="gramStart"/>
      <w:r w:rsidRPr="006573D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573D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573D7">
        <w:rPr>
          <w:rFonts w:ascii="Times New Roman" w:hAnsi="Times New Roman" w:cs="Times New Roman"/>
          <w:sz w:val="28"/>
          <w:szCs w:val="28"/>
        </w:rPr>
        <w:t xml:space="preserve"> – средняя заработная плата водителей (руб./час)</w:t>
      </w:r>
    </w:p>
    <w:p w:rsidR="006573D7" w:rsidRP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3D7">
        <w:rPr>
          <w:rFonts w:ascii="Times New Roman" w:hAnsi="Times New Roman" w:cs="Times New Roman"/>
          <w:sz w:val="28"/>
          <w:szCs w:val="28"/>
        </w:rPr>
        <w:lastRenderedPageBreak/>
        <w:t>Ттр</w:t>
      </w:r>
      <w:proofErr w:type="spellEnd"/>
      <w:r w:rsidRPr="006573D7">
        <w:rPr>
          <w:rFonts w:ascii="Times New Roman" w:hAnsi="Times New Roman" w:cs="Times New Roman"/>
          <w:sz w:val="28"/>
          <w:szCs w:val="28"/>
        </w:rPr>
        <w:t xml:space="preserve"> – время, затраченное на доставку специалистов на объект/с объекта обследования</w:t>
      </w: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3D7">
        <w:rPr>
          <w:rFonts w:ascii="Times New Roman" w:hAnsi="Times New Roman" w:cs="Times New Roman"/>
          <w:sz w:val="28"/>
          <w:szCs w:val="28"/>
        </w:rPr>
        <w:t>Сгсм</w:t>
      </w:r>
      <w:proofErr w:type="spellEnd"/>
      <w:r w:rsidRPr="006573D7">
        <w:rPr>
          <w:rFonts w:ascii="Times New Roman" w:hAnsi="Times New Roman" w:cs="Times New Roman"/>
          <w:sz w:val="28"/>
          <w:szCs w:val="28"/>
        </w:rPr>
        <w:t xml:space="preserve"> - затраты Учреждения на горюче-смазочные материалы, определяемые как произведение пробега согласно путевым листам, нормы расхода топлива и стоимости горюче-смазочных материалов</w:t>
      </w: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D7" w:rsidRPr="006573D7" w:rsidRDefault="006573D7" w:rsidP="006573D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73D7">
        <w:rPr>
          <w:rFonts w:ascii="Times New Roman" w:hAnsi="Times New Roman" w:cs="Times New Roman"/>
          <w:sz w:val="28"/>
          <w:szCs w:val="28"/>
        </w:rPr>
        <w:t xml:space="preserve"> к приказу Комитета </w:t>
      </w:r>
    </w:p>
    <w:p w:rsidR="006573D7" w:rsidRPr="006573D7" w:rsidRDefault="006573D7" w:rsidP="006573D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 xml:space="preserve">государственного экологического </w:t>
      </w:r>
    </w:p>
    <w:p w:rsidR="006573D7" w:rsidRPr="006573D7" w:rsidRDefault="006573D7" w:rsidP="006573D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>надзора Ленинградской области</w:t>
      </w:r>
    </w:p>
    <w:p w:rsidR="006573D7" w:rsidRDefault="006573D7" w:rsidP="006573D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573D7">
        <w:rPr>
          <w:rFonts w:ascii="Times New Roman" w:hAnsi="Times New Roman" w:cs="Times New Roman"/>
          <w:sz w:val="28"/>
          <w:szCs w:val="28"/>
        </w:rPr>
        <w:t>от «___» __________ 202__ № _________</w:t>
      </w:r>
    </w:p>
    <w:p w:rsidR="006573D7" w:rsidRDefault="006573D7" w:rsidP="006573D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573D7" w:rsidRDefault="006573D7" w:rsidP="006573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3D7">
        <w:rPr>
          <w:rFonts w:ascii="Times New Roman" w:hAnsi="Times New Roman" w:cs="Times New Roman"/>
          <w:b/>
          <w:sz w:val="28"/>
          <w:szCs w:val="28"/>
        </w:rPr>
        <w:t>Стоимость работ (услуг), выполняемых (оказываемых)  Ленинградским областным государственным казенным учреждением «Государственная экологическая инспекция Ленинградской области»</w:t>
      </w:r>
    </w:p>
    <w:p w:rsidR="00C248A4" w:rsidRPr="006573D7" w:rsidRDefault="00C248A4" w:rsidP="006573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207"/>
        <w:gridCol w:w="4110"/>
        <w:gridCol w:w="1543"/>
      </w:tblGrid>
      <w:tr w:rsidR="006573D7" w:rsidRPr="006A4D47" w:rsidTr="00C248A4">
        <w:trPr>
          <w:trHeight w:val="1064"/>
        </w:trPr>
        <w:tc>
          <w:tcPr>
            <w:tcW w:w="636" w:type="dxa"/>
            <w:shd w:val="clear" w:color="auto" w:fill="auto"/>
            <w:vAlign w:val="center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0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00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исследования</w:t>
            </w:r>
          </w:p>
        </w:tc>
        <w:tc>
          <w:tcPr>
            <w:tcW w:w="1543" w:type="dxa"/>
            <w:shd w:val="clear" w:color="000000" w:fill="FFFFFF"/>
            <w:vAlign w:val="center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за единицу, руб.</w:t>
            </w:r>
          </w:p>
        </w:tc>
      </w:tr>
      <w:tr w:rsidR="006573D7" w:rsidRPr="006A4D47" w:rsidTr="00C248A4">
        <w:trPr>
          <w:trHeight w:val="54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0" w:type="dxa"/>
            <w:gridSpan w:val="3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Исследование концентрации вредных веществ в почве, грунты, донные отложения, отходы производства и потребления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</w:t>
            </w:r>
            <w:proofErr w:type="spellEnd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(водная вытяжка)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потенциометрический</w:t>
            </w:r>
          </w:p>
        </w:tc>
        <w:tc>
          <w:tcPr>
            <w:tcW w:w="1543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218,76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фосфат-ионы</w:t>
            </w:r>
            <w:proofErr w:type="gramEnd"/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543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1 968,79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АПАВ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543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2 736,62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сульфат-ионы</w:t>
            </w:r>
            <w:proofErr w:type="gramEnd"/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гравиметрический</w:t>
            </w:r>
          </w:p>
        </w:tc>
        <w:tc>
          <w:tcPr>
            <w:tcW w:w="1543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6 562,64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нитритный азот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543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2 185,36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нитратный азот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543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2 408,49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543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2 460,99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аммонийный азот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543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2 408,49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флуориметрический</w:t>
            </w:r>
            <w:proofErr w:type="spellEnd"/>
          </w:p>
        </w:tc>
        <w:tc>
          <w:tcPr>
            <w:tcW w:w="1543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1 424,10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543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721,90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мышьяк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543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721,90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543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787,53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543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787,53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543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787,53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кадмий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543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787,53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никель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543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754,71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543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787,53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543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754,71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</w:t>
            </w:r>
            <w:proofErr w:type="gram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пирен</w:t>
            </w:r>
            <w:proofErr w:type="spellEnd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проба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жидкостная хроматография</w:t>
            </w:r>
          </w:p>
        </w:tc>
        <w:tc>
          <w:tcPr>
            <w:tcW w:w="1543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1 640,67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влажность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гравиметрический</w:t>
            </w:r>
          </w:p>
        </w:tc>
        <w:tc>
          <w:tcPr>
            <w:tcW w:w="1543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393,76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</w:t>
            </w:r>
            <w:proofErr w:type="gram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гравиметрический</w:t>
            </w:r>
          </w:p>
        </w:tc>
        <w:tc>
          <w:tcPr>
            <w:tcW w:w="1543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518,46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фенол летучий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543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5 033,55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543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1 752,23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543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1 804,74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кадмий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543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1 804,74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543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1 804,74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543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1 804,74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мышьяк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543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1 804,74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543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1 804,74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никель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543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1 804,74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кобальт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543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1 804,74</w:t>
            </w:r>
          </w:p>
        </w:tc>
      </w:tr>
      <w:tr w:rsidR="006573D7" w:rsidRPr="006A4D47" w:rsidTr="00C248A4">
        <w:trPr>
          <w:trHeight w:val="6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1.32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гранулометрический состав грунтов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гравиметрический</w:t>
            </w:r>
          </w:p>
        </w:tc>
        <w:tc>
          <w:tcPr>
            <w:tcW w:w="1543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872,83</w:t>
            </w:r>
          </w:p>
        </w:tc>
      </w:tr>
      <w:tr w:rsidR="006573D7" w:rsidRPr="006A4D47" w:rsidTr="00C248A4">
        <w:trPr>
          <w:trHeight w:val="12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биотестирование (токсичность)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Chlorella</w:t>
            </w:r>
            <w:proofErr w:type="spellEnd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vulgaris</w:t>
            </w:r>
            <w:proofErr w:type="spellEnd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Beijer</w:t>
            </w:r>
            <w:proofErr w:type="spellEnd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(острый опыт)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токсилогический</w:t>
            </w:r>
            <w:proofErr w:type="spellEnd"/>
          </w:p>
        </w:tc>
        <w:tc>
          <w:tcPr>
            <w:tcW w:w="1543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10 017,31</w:t>
            </w:r>
          </w:p>
        </w:tc>
      </w:tr>
      <w:tr w:rsidR="006573D7" w:rsidRPr="006A4D47" w:rsidTr="00C248A4">
        <w:trPr>
          <w:trHeight w:val="12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биотестирование (токсичность)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Daphia</w:t>
            </w:r>
            <w:proofErr w:type="spellEnd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magna</w:t>
            </w:r>
            <w:proofErr w:type="spellEnd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Straus</w:t>
            </w:r>
            <w:proofErr w:type="spellEnd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(острый опыт)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токсилогический</w:t>
            </w:r>
            <w:proofErr w:type="spellEnd"/>
          </w:p>
        </w:tc>
        <w:tc>
          <w:tcPr>
            <w:tcW w:w="1543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4 662,14</w:t>
            </w:r>
          </w:p>
        </w:tc>
      </w:tr>
      <w:tr w:rsidR="006573D7" w:rsidRPr="006A4D47" w:rsidTr="00C248A4">
        <w:trPr>
          <w:trHeight w:val="6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7317" w:type="dxa"/>
            <w:gridSpan w:val="2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специалиста с обследованием участка и отбором проб, дальность до 100 км</w:t>
            </w:r>
          </w:p>
        </w:tc>
        <w:tc>
          <w:tcPr>
            <w:tcW w:w="1543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1 509,44</w:t>
            </w:r>
          </w:p>
        </w:tc>
      </w:tr>
      <w:tr w:rsidR="006573D7" w:rsidRPr="006A4D47" w:rsidTr="00C248A4">
        <w:trPr>
          <w:trHeight w:val="675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7317" w:type="dxa"/>
            <w:gridSpan w:val="2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специалиста с обследованием участка и отбором проб, дальность свыше 100 км</w:t>
            </w:r>
          </w:p>
        </w:tc>
        <w:tc>
          <w:tcPr>
            <w:tcW w:w="1543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2 415,09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0" w:type="dxa"/>
            <w:gridSpan w:val="3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Исследование концентрации вредных веществ в атмосферном воздухе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азота диоксид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газоанализаторный</w:t>
            </w:r>
            <w:proofErr w:type="spellEnd"/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656,26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азота оксид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газоанализаторный</w:t>
            </w:r>
            <w:proofErr w:type="spellEnd"/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656,26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газоанализаторный</w:t>
            </w:r>
            <w:proofErr w:type="spellEnd"/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328,13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азота диоксид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984,39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азота оксид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984,39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984,39</w:t>
            </w:r>
          </w:p>
        </w:tc>
      </w:tr>
      <w:tr w:rsidR="006573D7" w:rsidRPr="006A4D47" w:rsidTr="00C248A4">
        <w:trPr>
          <w:trHeight w:val="6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сероводород (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дигидросульфид</w:t>
            </w:r>
            <w:proofErr w:type="spellEnd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газоанализаторный</w:t>
            </w:r>
            <w:proofErr w:type="spellEnd"/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328,13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 диоксид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газоанализаторный</w:t>
            </w:r>
            <w:proofErr w:type="spellEnd"/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656,26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углерода оксид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газоанализаторный</w:t>
            </w:r>
            <w:proofErr w:type="spellEnd"/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328,13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фтористый водород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спектрофотометрический 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984,39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спектрофотометрический 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984,39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спектрофотометрический 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984,39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754,71</w:t>
            </w:r>
          </w:p>
        </w:tc>
      </w:tr>
      <w:tr w:rsidR="006573D7" w:rsidRPr="006A4D47" w:rsidTr="00D95D25">
        <w:trPr>
          <w:trHeight w:val="385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взвешенные вещества (пыль)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гравиметрический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328,13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газоанализаторный</w:t>
            </w:r>
            <w:proofErr w:type="spellEnd"/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328,13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</w:t>
            </w:r>
            <w:proofErr w:type="gram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пирен</w:t>
            </w:r>
            <w:proofErr w:type="spellEnd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проба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жидкостная хроматография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872,83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656,26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1 312,53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кобальт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656,26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656,26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1 312,53</w:t>
            </w:r>
          </w:p>
        </w:tc>
      </w:tr>
      <w:tr w:rsidR="006573D7" w:rsidRPr="006A4D47" w:rsidTr="00C248A4">
        <w:trPr>
          <w:trHeight w:val="57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7317" w:type="dxa"/>
            <w:gridSpan w:val="2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специалиста с обследованием участка и отбором проб, дальность до 100 км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1 509,44</w:t>
            </w:r>
          </w:p>
        </w:tc>
      </w:tr>
      <w:tr w:rsidR="006573D7" w:rsidRPr="006A4D47" w:rsidTr="00C248A4">
        <w:trPr>
          <w:trHeight w:val="54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7317" w:type="dxa"/>
            <w:gridSpan w:val="2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специалиста с обследованием участка и отбором проб, дальность свыше 100 км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2 415,09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60" w:type="dxa"/>
            <w:gridSpan w:val="3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Исследование концентрации вредных веществ в воде природной и сточной</w:t>
            </w:r>
          </w:p>
        </w:tc>
      </w:tr>
      <w:tr w:rsidR="006573D7" w:rsidRPr="006A4D47" w:rsidTr="00D95D25">
        <w:trPr>
          <w:trHeight w:val="403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C248A4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водородный показатель </w:t>
            </w:r>
            <w:r w:rsidR="00D9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573D7"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потенциометрический 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207,91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флуорометрический</w:t>
            </w:r>
            <w:proofErr w:type="spellEnd"/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422,11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аммоний-ион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365,42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нитрит-ион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504,01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нитрат-ион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1 682,15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фосфат-ион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674,12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хлориды-ион</w:t>
            </w:r>
            <w:proofErr w:type="gramEnd"/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аргентометрический</w:t>
            </w:r>
            <w:proofErr w:type="spellEnd"/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182,69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сульфат-ионы</w:t>
            </w:r>
            <w:proofErr w:type="gramEnd"/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турбидиметрическим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409,51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гравиметрическим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264,60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гидросульфиты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630,02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сероводород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630,02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сульфиты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630,02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сухой остаток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гравиметрическим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44,10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АПАВ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экстракционно-фотометрический 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107,10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239,42</w:t>
            </w:r>
          </w:p>
        </w:tc>
      </w:tr>
      <w:tr w:rsidR="006573D7" w:rsidRPr="006A4D47" w:rsidTr="00C248A4">
        <w:trPr>
          <w:trHeight w:val="6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окисляемость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перманганатная</w:t>
            </w:r>
            <w:proofErr w:type="spellEnd"/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титриметрический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365,42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ХПК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157,51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БПК5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амперометрический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567,02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БПК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амперометрический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1 115,13</w:t>
            </w:r>
          </w:p>
        </w:tc>
      </w:tr>
      <w:tr w:rsidR="006573D7" w:rsidRPr="006A4D47" w:rsidTr="00C248A4">
        <w:trPr>
          <w:trHeight w:val="407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растворенный кислород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оксиометрический</w:t>
            </w:r>
            <w:proofErr w:type="spellEnd"/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522,92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кадмий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1 228,54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693,02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медь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1 152,94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1 152,94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инверсионная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вольтамперометрия</w:t>
            </w:r>
            <w:proofErr w:type="spellEnd"/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1 152,94</w:t>
            </w:r>
          </w:p>
        </w:tc>
      </w:tr>
      <w:tr w:rsidR="006573D7" w:rsidRPr="006A4D47" w:rsidTr="00C248A4">
        <w:trPr>
          <w:trHeight w:val="33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535,52</w:t>
            </w:r>
          </w:p>
        </w:tc>
      </w:tr>
      <w:tr w:rsidR="006573D7" w:rsidRPr="006A4D47" w:rsidTr="00C248A4">
        <w:trPr>
          <w:trHeight w:val="33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 общий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252,01</w:t>
            </w:r>
          </w:p>
        </w:tc>
      </w:tr>
      <w:tr w:rsidR="006573D7" w:rsidRPr="006A4D47" w:rsidTr="00C248A4">
        <w:trPr>
          <w:trHeight w:val="33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 6+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333,92</w:t>
            </w:r>
          </w:p>
        </w:tc>
      </w:tr>
      <w:tr w:rsidR="006573D7" w:rsidRPr="006A4D47" w:rsidTr="00C248A4">
        <w:trPr>
          <w:trHeight w:val="33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 3+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333,92</w:t>
            </w:r>
          </w:p>
        </w:tc>
      </w:tr>
      <w:tr w:rsidR="006573D7" w:rsidRPr="006A4D47" w:rsidTr="00C248A4">
        <w:trPr>
          <w:trHeight w:val="33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фосфор общий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837,93</w:t>
            </w:r>
          </w:p>
        </w:tc>
      </w:tr>
      <w:tr w:rsidR="006573D7" w:rsidRPr="006A4D47" w:rsidTr="00C248A4">
        <w:trPr>
          <w:trHeight w:val="33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3.31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флуориметрический</w:t>
            </w:r>
            <w:proofErr w:type="spellEnd"/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365,42</w:t>
            </w:r>
          </w:p>
        </w:tc>
      </w:tr>
      <w:tr w:rsidR="006573D7" w:rsidRPr="006A4D47" w:rsidTr="00C248A4">
        <w:trPr>
          <w:trHeight w:val="33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3.32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787,53</w:t>
            </w:r>
          </w:p>
        </w:tc>
      </w:tr>
      <w:tr w:rsidR="006573D7" w:rsidRPr="006A4D47" w:rsidTr="00C248A4">
        <w:trPr>
          <w:trHeight w:val="33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мутность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турбидиметрический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138,60</w:t>
            </w:r>
          </w:p>
        </w:tc>
      </w:tr>
      <w:tr w:rsidR="006573D7" w:rsidRPr="006A4D47" w:rsidTr="00C248A4">
        <w:trPr>
          <w:trHeight w:val="33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3.34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инструментальный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50,41</w:t>
            </w:r>
          </w:p>
        </w:tc>
      </w:tr>
      <w:tr w:rsidR="006573D7" w:rsidRPr="006A4D47" w:rsidTr="00C248A4">
        <w:trPr>
          <w:trHeight w:val="33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3.35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цветность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визуальный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50,41</w:t>
            </w:r>
          </w:p>
        </w:tc>
      </w:tr>
      <w:tr w:rsidR="006573D7" w:rsidRPr="006A4D47" w:rsidTr="00C248A4">
        <w:trPr>
          <w:trHeight w:val="33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3.36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органолептический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31,50</w:t>
            </w:r>
          </w:p>
        </w:tc>
      </w:tr>
      <w:tr w:rsidR="006573D7" w:rsidRPr="006A4D47" w:rsidTr="00C248A4">
        <w:trPr>
          <w:trHeight w:val="33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3.37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693,02</w:t>
            </w:r>
          </w:p>
        </w:tc>
      </w:tr>
      <w:tr w:rsidR="006573D7" w:rsidRPr="006A4D47" w:rsidTr="00C248A4">
        <w:trPr>
          <w:trHeight w:val="33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3.38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693,02</w:t>
            </w:r>
          </w:p>
        </w:tc>
      </w:tr>
      <w:tr w:rsidR="006573D7" w:rsidRPr="006A4D47" w:rsidTr="00C248A4">
        <w:trPr>
          <w:trHeight w:val="33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3.39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кадмий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693,02</w:t>
            </w:r>
          </w:p>
        </w:tc>
      </w:tr>
      <w:tr w:rsidR="006573D7" w:rsidRPr="006A4D47" w:rsidTr="00C248A4">
        <w:trPr>
          <w:trHeight w:val="33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693,02</w:t>
            </w:r>
          </w:p>
        </w:tc>
      </w:tr>
      <w:tr w:rsidR="006573D7" w:rsidRPr="006A4D47" w:rsidTr="00C248A4">
        <w:trPr>
          <w:trHeight w:val="33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3.41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693,02</w:t>
            </w:r>
          </w:p>
        </w:tc>
      </w:tr>
      <w:tr w:rsidR="006573D7" w:rsidRPr="006A4D47" w:rsidTr="00C248A4">
        <w:trPr>
          <w:trHeight w:val="33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3.42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мышьяк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693,02</w:t>
            </w:r>
          </w:p>
        </w:tc>
      </w:tr>
      <w:tr w:rsidR="006573D7" w:rsidRPr="006A4D47" w:rsidTr="00C248A4">
        <w:trPr>
          <w:trHeight w:val="33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3.43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693,02</w:t>
            </w:r>
          </w:p>
        </w:tc>
      </w:tr>
      <w:tr w:rsidR="006573D7" w:rsidRPr="006A4D47" w:rsidTr="00C248A4">
        <w:trPr>
          <w:trHeight w:val="33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3.44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никель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693,02</w:t>
            </w:r>
          </w:p>
        </w:tc>
      </w:tr>
      <w:tr w:rsidR="006573D7" w:rsidRPr="006A4D47" w:rsidTr="00C248A4">
        <w:trPr>
          <w:trHeight w:val="33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3.45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кобальт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атомно-абсорбционный 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693,02</w:t>
            </w:r>
          </w:p>
        </w:tc>
      </w:tr>
      <w:tr w:rsidR="006573D7" w:rsidRPr="006A4D47" w:rsidTr="00C248A4">
        <w:trPr>
          <w:trHeight w:val="33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3.46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</w:t>
            </w:r>
            <w:proofErr w:type="gram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пирен</w:t>
            </w:r>
            <w:proofErr w:type="spellEnd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проба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жидкостная хроматография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1 367,14</w:t>
            </w:r>
          </w:p>
        </w:tc>
      </w:tr>
      <w:tr w:rsidR="006573D7" w:rsidRPr="006A4D47" w:rsidTr="00D95D25">
        <w:trPr>
          <w:trHeight w:val="84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3.47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биотестирование (токсичность)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Chlorella</w:t>
            </w:r>
            <w:proofErr w:type="spellEnd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vulgaris</w:t>
            </w:r>
            <w:proofErr w:type="spellEnd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Beijer</w:t>
            </w:r>
            <w:proofErr w:type="spellEnd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(острый опыт)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токсилогический</w:t>
            </w:r>
            <w:proofErr w:type="spellEnd"/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10 017,31</w:t>
            </w:r>
          </w:p>
        </w:tc>
      </w:tr>
      <w:tr w:rsidR="006573D7" w:rsidRPr="006A4D47" w:rsidTr="00D95D25">
        <w:trPr>
          <w:trHeight w:val="851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3.48</w:t>
            </w:r>
          </w:p>
        </w:tc>
        <w:tc>
          <w:tcPr>
            <w:tcW w:w="3207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биотестирование (токсичность)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Daphia</w:t>
            </w:r>
            <w:proofErr w:type="spellEnd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magna</w:t>
            </w:r>
            <w:proofErr w:type="spellEnd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Straus</w:t>
            </w:r>
            <w:proofErr w:type="spellEnd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(острый опыт)</w:t>
            </w:r>
          </w:p>
        </w:tc>
        <w:tc>
          <w:tcPr>
            <w:tcW w:w="4110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токсилогический</w:t>
            </w:r>
            <w:proofErr w:type="spellEnd"/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4 662,14</w:t>
            </w:r>
          </w:p>
        </w:tc>
      </w:tr>
      <w:tr w:rsidR="006573D7" w:rsidRPr="006A4D47" w:rsidTr="00C248A4">
        <w:trPr>
          <w:trHeight w:val="6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7317" w:type="dxa"/>
            <w:gridSpan w:val="2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специалиста с обследованием участка и отбором проб, дальность до 100 км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1 509,44</w:t>
            </w:r>
          </w:p>
        </w:tc>
      </w:tr>
      <w:tr w:rsidR="006573D7" w:rsidRPr="006A4D47" w:rsidTr="00C248A4">
        <w:trPr>
          <w:trHeight w:val="57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3.50</w:t>
            </w:r>
          </w:p>
        </w:tc>
        <w:tc>
          <w:tcPr>
            <w:tcW w:w="7317" w:type="dxa"/>
            <w:gridSpan w:val="2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специалиста с обследованием участка и отбором проб, дальность свыше 100 км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2 415,09</w:t>
            </w:r>
          </w:p>
        </w:tc>
      </w:tr>
      <w:tr w:rsidR="006573D7" w:rsidRPr="006A4D47" w:rsidTr="00C248A4">
        <w:trPr>
          <w:trHeight w:val="375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60" w:type="dxa"/>
            <w:gridSpan w:val="3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Экспертные работы</w:t>
            </w:r>
          </w:p>
        </w:tc>
      </w:tr>
      <w:tr w:rsidR="006573D7" w:rsidRPr="006A4D47" w:rsidTr="00C248A4">
        <w:trPr>
          <w:trHeight w:val="57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317" w:type="dxa"/>
            <w:gridSpan w:val="2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эксперта для обследования участка, дальность до 100 км</w:t>
            </w:r>
          </w:p>
        </w:tc>
        <w:tc>
          <w:tcPr>
            <w:tcW w:w="1543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3 281,33</w:t>
            </w:r>
          </w:p>
        </w:tc>
      </w:tr>
      <w:tr w:rsidR="006573D7" w:rsidRPr="006A4D47" w:rsidTr="00C248A4">
        <w:trPr>
          <w:trHeight w:val="585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317" w:type="dxa"/>
            <w:gridSpan w:val="2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эксперта для обследования участка, дальность свыше 100 км</w:t>
            </w:r>
          </w:p>
        </w:tc>
        <w:tc>
          <w:tcPr>
            <w:tcW w:w="1543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5 250,12</w:t>
            </w:r>
          </w:p>
        </w:tc>
      </w:tr>
      <w:tr w:rsidR="006573D7" w:rsidRPr="006A4D47" w:rsidTr="00C248A4">
        <w:trPr>
          <w:trHeight w:val="315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207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экспертного заключения</w:t>
            </w:r>
          </w:p>
        </w:tc>
        <w:tc>
          <w:tcPr>
            <w:tcW w:w="4110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5 250,12</w:t>
            </w:r>
          </w:p>
        </w:tc>
      </w:tr>
      <w:tr w:rsidR="006573D7" w:rsidRPr="006A4D47" w:rsidTr="00C248A4">
        <w:trPr>
          <w:trHeight w:val="315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207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вреда нанесенного окружающей среде</w:t>
            </w:r>
          </w:p>
        </w:tc>
        <w:tc>
          <w:tcPr>
            <w:tcW w:w="4110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5 250,12</w:t>
            </w:r>
          </w:p>
        </w:tc>
      </w:tr>
      <w:tr w:rsidR="006573D7" w:rsidRPr="006A4D47" w:rsidTr="00C248A4">
        <w:trPr>
          <w:trHeight w:val="36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60" w:type="dxa"/>
            <w:gridSpan w:val="3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Маркшейдерские работы</w:t>
            </w:r>
          </w:p>
        </w:tc>
      </w:tr>
      <w:tr w:rsidR="006573D7" w:rsidRPr="006A4D47" w:rsidTr="00C248A4">
        <w:trPr>
          <w:trHeight w:val="1125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317" w:type="dxa"/>
            <w:gridSpan w:val="2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маркшейдера для определения фактических границ участка размещения отходов и объема отходов с использованием геодезического оборудования и (или) аэрофотосъемки, 1 участок, дальность до 100 км (2 чел.)</w:t>
            </w:r>
          </w:p>
        </w:tc>
        <w:tc>
          <w:tcPr>
            <w:tcW w:w="1543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6 300,19</w:t>
            </w:r>
          </w:p>
        </w:tc>
      </w:tr>
      <w:tr w:rsidR="006573D7" w:rsidRPr="006A4D47" w:rsidTr="00C248A4">
        <w:trPr>
          <w:trHeight w:val="93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317" w:type="dxa"/>
            <w:gridSpan w:val="2"/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маркшейдера для определения фактических границ участка размещения отходов и объема отходов с использованием геодезического оборудования и (или) аэрофотосъемки, 1 участок, дальность свыше 100 км  (2 чел.)</w:t>
            </w:r>
          </w:p>
        </w:tc>
        <w:tc>
          <w:tcPr>
            <w:tcW w:w="1543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10 080,31</w:t>
            </w:r>
          </w:p>
        </w:tc>
      </w:tr>
      <w:tr w:rsidR="006573D7" w:rsidRPr="006A4D47" w:rsidTr="00C248A4">
        <w:trPr>
          <w:trHeight w:val="300"/>
        </w:trPr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207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маркшейдерского отчета</w:t>
            </w:r>
          </w:p>
        </w:tc>
        <w:tc>
          <w:tcPr>
            <w:tcW w:w="4110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shd w:val="clear" w:color="000000" w:fill="FFFFFF"/>
            <w:noWrap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5 040,15</w:t>
            </w:r>
          </w:p>
        </w:tc>
      </w:tr>
    </w:tbl>
    <w:p w:rsidR="006573D7" w:rsidRPr="00D95D25" w:rsidRDefault="006573D7" w:rsidP="006573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19"/>
        <w:gridCol w:w="1688"/>
        <w:gridCol w:w="1771"/>
        <w:gridCol w:w="1771"/>
        <w:gridCol w:w="280"/>
        <w:gridCol w:w="1421"/>
        <w:gridCol w:w="1701"/>
      </w:tblGrid>
      <w:tr w:rsidR="006573D7" w:rsidRPr="006B071B" w:rsidTr="00C248A4">
        <w:trPr>
          <w:trHeight w:val="6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3D7" w:rsidRPr="006B071B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8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73D7" w:rsidRPr="006B071B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Транспортные расходы по доставке специалистов на объект и с объекта исследования</w:t>
            </w:r>
          </w:p>
        </w:tc>
      </w:tr>
      <w:tr w:rsidR="006573D7" w:rsidRPr="006B071B" w:rsidTr="00C248A4">
        <w:trPr>
          <w:trHeight w:val="57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3008A1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3008A1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Наименование 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Стоимость,</w:t>
            </w:r>
            <w:r w:rsidRPr="003008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руб. за 1 км пробега </w:t>
            </w:r>
          </w:p>
        </w:tc>
      </w:tr>
      <w:tr w:rsidR="006573D7" w:rsidRPr="006B071B" w:rsidTr="00C248A4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3D7" w:rsidRPr="006B071B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3D7" w:rsidRPr="006B071B" w:rsidRDefault="006573D7" w:rsidP="00C248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 xml:space="preserve">Оплата труда водителя 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3D7" w:rsidRPr="006B071B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6573D7" w:rsidRPr="006B071B" w:rsidTr="00C248A4">
        <w:trPr>
          <w:trHeight w:val="64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73D7" w:rsidRPr="006B071B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8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bCs/>
                <w:lang w:eastAsia="ru-RU"/>
              </w:rPr>
              <w:t>Затраты на ГСМ в составе транспортных расходов по доставке специалистов на объект и с объекта исследования</w:t>
            </w:r>
          </w:p>
        </w:tc>
      </w:tr>
      <w:tr w:rsidR="006573D7" w:rsidRPr="006B071B" w:rsidTr="00C248A4">
        <w:trPr>
          <w:trHeight w:val="64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573D7" w:rsidRPr="006B071B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73D7" w:rsidRPr="003008A1" w:rsidRDefault="006573D7" w:rsidP="00C248A4">
            <w:pPr>
              <w:spacing w:after="0" w:line="240" w:lineRule="auto"/>
              <w:ind w:left="-115" w:right="-10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автомобиля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4B7E">
              <w:rPr>
                <w:rFonts w:ascii="Times New Roman" w:eastAsia="Times New Roman" w:hAnsi="Times New Roman" w:cs="Times New Roman"/>
                <w:bCs/>
                <w:lang w:eastAsia="ru-RU"/>
              </w:rPr>
              <w:t>Затраты на ГСМ</w:t>
            </w:r>
            <w:r w:rsidRPr="00592F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руб. за 1 км </w:t>
            </w:r>
            <w:r w:rsidRPr="00592F79">
              <w:rPr>
                <w:rFonts w:ascii="Times New Roman" w:eastAsia="Times New Roman" w:hAnsi="Times New Roman" w:cs="Times New Roman"/>
                <w:bCs/>
                <w:lang w:eastAsia="ru-RU"/>
              </w:rPr>
              <w:t>пробег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592F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г.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592F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Санкт-Петербург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73D7" w:rsidRPr="003008A1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4B7E">
              <w:rPr>
                <w:rFonts w:ascii="Times New Roman" w:eastAsia="Times New Roman" w:hAnsi="Times New Roman" w:cs="Times New Roman"/>
                <w:bCs/>
                <w:lang w:eastAsia="ru-RU"/>
              </w:rPr>
              <w:t>Затраты на ГСМ</w:t>
            </w:r>
            <w:r w:rsidRPr="00592F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руб. за 1 км </w:t>
            </w:r>
            <w:r w:rsidRPr="00592F79">
              <w:rPr>
                <w:rFonts w:ascii="Times New Roman" w:eastAsia="Times New Roman" w:hAnsi="Times New Roman" w:cs="Times New Roman"/>
                <w:bCs/>
                <w:lang w:eastAsia="ru-RU"/>
              </w:rPr>
              <w:t>пробег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592F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</w:t>
            </w:r>
            <w:r w:rsidRPr="00D42B38">
              <w:rPr>
                <w:rFonts w:ascii="Times New Roman" w:eastAsia="Times New Roman" w:hAnsi="Times New Roman" w:cs="Times New Roman"/>
                <w:bCs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нинградской области</w:t>
            </w:r>
          </w:p>
        </w:tc>
      </w:tr>
      <w:tr w:rsidR="006573D7" w:rsidRPr="006B071B" w:rsidTr="00C248A4">
        <w:trPr>
          <w:trHeight w:val="329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573D7" w:rsidRPr="006B071B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73D7" w:rsidRPr="006B071B" w:rsidRDefault="006573D7" w:rsidP="00C248A4">
            <w:pPr>
              <w:spacing w:after="0" w:line="240" w:lineRule="auto"/>
              <w:ind w:left="-115" w:right="-10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73D7" w:rsidRPr="006B071B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етняя норма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73D7" w:rsidRPr="006B071B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08A1">
              <w:rPr>
                <w:rFonts w:ascii="Times New Roman" w:eastAsia="Times New Roman" w:hAnsi="Times New Roman" w:cs="Times New Roman"/>
                <w:bCs/>
                <w:lang w:eastAsia="ru-RU"/>
              </w:rPr>
              <w:t>зимняя норма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73D7" w:rsidRPr="00D42B38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F4B7E">
              <w:rPr>
                <w:rFonts w:ascii="Times New Roman" w:eastAsia="Times New Roman" w:hAnsi="Times New Roman" w:cs="Times New Roman"/>
                <w:lang w:eastAsia="ru-RU"/>
              </w:rPr>
              <w:t>етняя норма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73D7" w:rsidRPr="00D42B38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4B7E">
              <w:rPr>
                <w:rFonts w:ascii="Times New Roman" w:eastAsia="Times New Roman" w:hAnsi="Times New Roman" w:cs="Times New Roman"/>
                <w:bCs/>
                <w:lang w:eastAsia="ru-RU"/>
              </w:rPr>
              <w:t>зимняя норма </w:t>
            </w:r>
          </w:p>
        </w:tc>
      </w:tr>
      <w:tr w:rsidR="006573D7" w:rsidRPr="006B071B" w:rsidTr="00C248A4">
        <w:trPr>
          <w:trHeight w:val="431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573D7" w:rsidRPr="006B071B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73D7" w:rsidRPr="006B071B" w:rsidRDefault="006573D7" w:rsidP="00C248A4">
            <w:pPr>
              <w:spacing w:after="0" w:line="240" w:lineRule="auto"/>
              <w:ind w:left="-115" w:right="-10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 xml:space="preserve"> Рено </w:t>
            </w:r>
            <w:proofErr w:type="spellStart"/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Дастер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73D7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73D7" w:rsidRPr="006B071B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73D7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73D7" w:rsidRPr="008F4B7E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6573D7" w:rsidRPr="006B071B" w:rsidTr="00C248A4">
        <w:trPr>
          <w:trHeight w:val="5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573D7" w:rsidRPr="006B071B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73D7" w:rsidRPr="006B071B" w:rsidRDefault="006573D7" w:rsidP="00C248A4">
            <w:pPr>
              <w:spacing w:after="0" w:line="240" w:lineRule="auto"/>
              <w:ind w:left="-115" w:right="-10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ГАЗ 28717 (лаборатория)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73D7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73D7" w:rsidRPr="006B071B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73D7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73D7" w:rsidRPr="008F4B7E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</w:tr>
      <w:tr w:rsidR="006573D7" w:rsidRPr="006B071B" w:rsidTr="00C248A4">
        <w:trPr>
          <w:trHeight w:val="401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573D7" w:rsidRPr="006B071B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73D7" w:rsidRPr="006B071B" w:rsidRDefault="006573D7" w:rsidP="00C248A4">
            <w:pPr>
              <w:spacing w:after="0" w:line="240" w:lineRule="auto"/>
              <w:ind w:left="-115" w:right="-10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B071B">
              <w:rPr>
                <w:rFonts w:ascii="Times New Roman" w:eastAsia="Times New Roman" w:hAnsi="Times New Roman" w:cs="Times New Roman"/>
                <w:lang w:eastAsia="ru-RU"/>
              </w:rPr>
              <w:t>Форд Транзит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73D7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73D7" w:rsidRPr="006B071B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73D7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73D7" w:rsidRPr="008F4B7E" w:rsidRDefault="006573D7" w:rsidP="00C2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5,17</w:t>
            </w:r>
          </w:p>
        </w:tc>
      </w:tr>
    </w:tbl>
    <w:p w:rsidR="0016213C" w:rsidRDefault="0016213C" w:rsidP="001373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213C" w:rsidSect="006D43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2C"/>
    <w:rsid w:val="00033605"/>
    <w:rsid w:val="00071C8E"/>
    <w:rsid w:val="001373BD"/>
    <w:rsid w:val="0016213C"/>
    <w:rsid w:val="002404BB"/>
    <w:rsid w:val="004705CC"/>
    <w:rsid w:val="005B6BA7"/>
    <w:rsid w:val="006573D7"/>
    <w:rsid w:val="006D433C"/>
    <w:rsid w:val="0078692E"/>
    <w:rsid w:val="007A07FE"/>
    <w:rsid w:val="007B29BB"/>
    <w:rsid w:val="00812291"/>
    <w:rsid w:val="00847AA4"/>
    <w:rsid w:val="00A40BBA"/>
    <w:rsid w:val="00B32BFC"/>
    <w:rsid w:val="00BF7A6C"/>
    <w:rsid w:val="00C248A4"/>
    <w:rsid w:val="00C42AC4"/>
    <w:rsid w:val="00C451FB"/>
    <w:rsid w:val="00C86F4A"/>
    <w:rsid w:val="00D2282C"/>
    <w:rsid w:val="00D95D25"/>
    <w:rsid w:val="00EB1C8C"/>
    <w:rsid w:val="00F16132"/>
    <w:rsid w:val="00F444DA"/>
    <w:rsid w:val="00F4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2282C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2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D2282C"/>
  </w:style>
  <w:style w:type="paragraph" w:styleId="a6">
    <w:name w:val="header"/>
    <w:basedOn w:val="a"/>
    <w:link w:val="a5"/>
    <w:uiPriority w:val="99"/>
    <w:unhideWhenUsed/>
    <w:rsid w:val="00D22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D2282C"/>
  </w:style>
  <w:style w:type="paragraph" w:styleId="a8">
    <w:name w:val="footer"/>
    <w:basedOn w:val="a"/>
    <w:link w:val="a7"/>
    <w:uiPriority w:val="99"/>
    <w:unhideWhenUsed/>
    <w:rsid w:val="00D2282C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iPriority w:val="99"/>
    <w:unhideWhenUsed/>
    <w:rsid w:val="00D228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2282C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2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D2282C"/>
  </w:style>
  <w:style w:type="paragraph" w:styleId="a6">
    <w:name w:val="header"/>
    <w:basedOn w:val="a"/>
    <w:link w:val="a5"/>
    <w:uiPriority w:val="99"/>
    <w:unhideWhenUsed/>
    <w:rsid w:val="00D22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D2282C"/>
  </w:style>
  <w:style w:type="paragraph" w:styleId="a8">
    <w:name w:val="footer"/>
    <w:basedOn w:val="a"/>
    <w:link w:val="a7"/>
    <w:uiPriority w:val="99"/>
    <w:unhideWhenUsed/>
    <w:rsid w:val="00D2282C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iPriority w:val="99"/>
    <w:unhideWhenUsed/>
    <w:rsid w:val="00D22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Маханько</dc:creator>
  <cp:lastModifiedBy>Марина Александровна Любова</cp:lastModifiedBy>
  <cp:revision>2</cp:revision>
  <dcterms:created xsi:type="dcterms:W3CDTF">2021-01-14T14:02:00Z</dcterms:created>
  <dcterms:modified xsi:type="dcterms:W3CDTF">2021-01-14T14:02:00Z</dcterms:modified>
</cp:coreProperties>
</file>